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br/>
      </w:r>
    </w:p>
    <w:p w14:paraId="0A000000">
      <w:pPr>
        <w:spacing w:after="0" w:before="0"/>
        <w:ind w:firstLine="0" w:left="0" w:right="0"/>
        <w:jc w:val="both"/>
        <w:rPr>
          <w:b w:val="0"/>
        </w:rPr>
      </w:pPr>
      <w:r>
        <w:rPr>
          <w:b w:val="1"/>
        </w:rPr>
        <w:t>Росаккредитация информирует о применении стандартов и нормативных документов</w:t>
      </w:r>
      <w:r>
        <w:br/>
      </w:r>
    </w:p>
    <w:p w14:paraId="0B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Сообщается, что применение стандартов и нормативных документов согласно приложению к настоящему письму при оценке соответствия продукции может осуществляться без дополнительного оснащения испытательным оборудованием и средствами измерений, без повышения квалификации работников, без внесения изменений в процедуры и без расширения области аккредитации юридических лиц, индивидуальных предпринимателей, выполняющих работы по оценке соответствия.</w:t>
      </w:r>
      <w:r>
        <w:br/>
      </w:r>
    </w:p>
    <w:p w14:paraId="0C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Внедрение в практику работы испытательной лаборатории (центра) стандартов и нормативных документов согласно прилагаемым перечням, включая обеспечение компетентности персонала, проводящего исследования (испытания) и измерения, должно осуществляться в порядке, предусмотренном ГОСТ ISO/IEC 17025-2019 "Межгосударственный стандарт. Общие требования к компетентности испытательных и калибровочных лабораторий".</w:t>
      </w:r>
    </w:p>
    <w:p w14:paraId="0D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Соответствие реализации порядка выполнения работ по оценке соответствия требованиям вышеуказанных документов оценивается при очередном подтверждении компетентности аккредитованного лица в соответствии со статьей 24 Федерального закона "Об аккредитации в национальной системе аккредитации".</w:t>
      </w:r>
    </w:p>
    <w:p w14:paraId="0E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К заявлению о проведении процедуры подтверждения компетентности аккредитованного лица прикладывается актуализированная область аккредитации</w:t>
      </w:r>
    </w:p>
    <w:p w14:paraId="0F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4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2026-06-16T14:43:59Z</dcterms:modified>
</cp:coreProperties>
</file>